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MUTUAL NONDISCLOSURE AGREEMENT</w:t>
      </w:r>
    </w:p>
    <w:p/>
    <w:p>
      <w:pPr>
        <w:spacing w:after="120"/>
      </w:pPr>
      <w:r>
        <w:t xml:space="preserve">THIS MUTUAL NONDISCLOSURE AGREEMENT (the "Agreement") is made and effective as of </w:t>
      </w:r>
      <w:r>
        <w:rPr>
          <w:highlight w:val="yellow"/>
        </w:rPr>
        <w:t>[DATE]</w:t>
      </w:r>
      <w:r>
        <w:t xml:space="preserve"> between </w:t>
      </w:r>
      <w:r>
        <w:rPr>
          <w:b/>
          <w:highlight w:val="yellow"/>
        </w:rPr>
        <w:t>[COMPANY NAME]</w:t>
      </w:r>
      <w:r>
        <w:t xml:space="preserve">, with offices at </w:t>
      </w:r>
      <w:r>
        <w:rPr>
          <w:highlight w:val="yellow"/>
        </w:rPr>
        <w:t>[COMPANY ADDRESS]</w:t>
      </w:r>
      <w:r>
        <w:t xml:space="preserve"> ("</w:t>
      </w:r>
      <w:r>
        <w:rPr>
          <w:b/>
        </w:rPr>
        <w:t>Company</w:t>
      </w:r>
      <w:r>
        <w:t xml:space="preserve">") and </w:t>
      </w:r>
      <w:r>
        <w:rPr>
          <w:b/>
        </w:rPr>
        <w:t>Kodius d.o.o.</w:t>
      </w:r>
      <w:r>
        <w:t>, VAT: HR58913703560, with offices at Oreškovićeva ulica 1a, 10000 Zagreb, Croatia ("</w:t>
      </w:r>
      <w:r>
        <w:rPr>
          <w:b/>
        </w:rPr>
        <w:t>Kodius</w:t>
      </w:r>
      <w:r>
        <w:t>"). Each party may be referred to as a "Disclosing Party" when sharing Confidential Information and as a "Receiving Party" when receiving it. Company and Kodius are each a "Party" and together the "Parties".</w:t>
      </w:r>
    </w:p>
    <w:p>
      <w:r>
        <w:rPr>
          <w:b/>
          <w:sz w:val="22"/>
        </w:rPr>
        <w:t>1. Purpose</w:t>
      </w:r>
    </w:p>
    <w:p>
      <w:pPr>
        <w:spacing w:after="120"/>
      </w:pPr>
      <w:r>
        <w:t>The Parties wish to explore a potential engagement of Kodius to design, develop and/or maintain a software platform for the Company (the "</w:t>
      </w:r>
      <w:r>
        <w:rPr>
          <w:b/>
        </w:rPr>
        <w:t>Platform</w:t>
      </w:r>
      <w:r>
        <w:t>"). In connection with this Purpose, each Party may disclose to the other certain Confidential Information. This Agreement governs the exchange and protection of such information. Nothing in this Agreement shall be construed as transferring any intellectual property rights between the Parties; any such transfer shall be governed by a separate written engagement agreement.</w:t>
      </w:r>
    </w:p>
    <w:p>
      <w:r>
        <w:rPr>
          <w:b/>
          <w:sz w:val="22"/>
        </w:rPr>
        <w:t>2. Definition of Confidential Information</w:t>
      </w:r>
    </w:p>
    <w:p>
      <w:pPr>
        <w:spacing w:after="120"/>
      </w:pPr>
      <w:r>
        <w:t>"</w:t>
      </w:r>
      <w:r>
        <w:rPr>
          <w:b/>
        </w:rPr>
        <w:t>Confidential Information</w:t>
      </w:r>
      <w:r>
        <w:t>" means any non-public information disclosed by a Disclosing Party to a Receiving Party, in any form, that is either marked as confidential or that a reasonable person would understand to be confidential given its nature and the circumstances of disclosure, including business plans, technical specifications, pricing, source code, designs, processes, customer and vendor information, and the existence and content of the Parties' discussions regarding the Platform.</w:t>
      </w:r>
    </w:p>
    <w:p>
      <w:pPr>
        <w:spacing w:after="120"/>
      </w:pPr>
      <w:r>
        <w:t>Confidential Information does not include information that:</w:t>
      </w:r>
    </w:p>
    <w:p>
      <w:pPr>
        <w:spacing w:after="120"/>
      </w:pPr>
      <w:r>
        <w:t>(i) is or becomes publicly available without breach of this Agreement;</w:t>
      </w:r>
    </w:p>
    <w:p>
      <w:pPr>
        <w:spacing w:after="120"/>
      </w:pPr>
      <w:r>
        <w:t>(ii) was known to the Receiving Party prior to disclosure, as shown by its records;</w:t>
      </w:r>
    </w:p>
    <w:p>
      <w:pPr>
        <w:spacing w:after="120"/>
      </w:pPr>
      <w:r>
        <w:t>(iii) is rightfully received from a third party without a duty of confidentiality;</w:t>
      </w:r>
    </w:p>
    <w:p>
      <w:pPr>
        <w:spacing w:after="120"/>
      </w:pPr>
      <w:r>
        <w:t>(iv) is independently developed by the Receiving Party without use of or reference to the Disclosing Party's Confidential Information; or</w:t>
      </w:r>
    </w:p>
    <w:p>
      <w:pPr>
        <w:spacing w:after="120"/>
      </w:pPr>
      <w:r>
        <w:t>(v) is required to be disclosed by law, regulation, court or governmental order, provided the Receiving Party gives reasonable prior notice (where legally permitted) so the Disclosing Party may seek a protective order, and discloses only what is legally required.</w:t>
      </w:r>
    </w:p>
    <w:p>
      <w:r>
        <w:rPr>
          <w:b/>
          <w:sz w:val="22"/>
        </w:rPr>
        <w:t>3. Use and Protection</w:t>
      </w:r>
    </w:p>
    <w:p>
      <w:pPr>
        <w:spacing w:after="120"/>
      </w:pPr>
      <w:r>
        <w:t>The Receiving Party shall:</w:t>
      </w:r>
    </w:p>
    <w:p>
      <w:pPr>
        <w:spacing w:after="120"/>
      </w:pPr>
      <w:r>
        <w:t>(a) use the Confidential Information solely for the Purpose;</w:t>
      </w:r>
    </w:p>
    <w:p>
      <w:pPr>
        <w:spacing w:after="120"/>
      </w:pPr>
      <w:r>
        <w:t>(b) protect it using the same degree of care it uses for its own confidential information of similar importance, and in any event no less than reasonable care;</w:t>
      </w:r>
    </w:p>
    <w:p>
      <w:pPr>
        <w:spacing w:after="120"/>
      </w:pPr>
      <w:r>
        <w:t>(c) limit access to its employees, contractors, advisors and affiliates who have a need to know for the Purpose and who are bound by confidentiality obligations no less protective than those in this Agreement (the Receiving Party remaining responsible for their compliance).</w:t>
      </w:r>
    </w:p>
    <w:p>
      <w:r>
        <w:rPr>
          <w:b/>
          <w:sz w:val="22"/>
        </w:rPr>
        <w:t>4. Residuals</w:t>
      </w:r>
    </w:p>
    <w:p>
      <w:pPr>
        <w:spacing w:after="120"/>
      </w:pPr>
      <w:r>
        <w:t>Notwithstanding anything to the contrary, the Receiving Party (and in particular Kodius and its personnel) shall be free to use for any purpose any general skills, know-how, techniques, methodologies, ideas, concepts and experience retained in the unaided memory of its personnel as a result of performing under this Agreement, provided that such use does not involve the deliberate memorization or disclosure of the Disclosing Party's Confidential Information and does not infringe any valid intellectual property right of the Disclosing Party. Nothing in this Agreement shall restrict Kodius from independently developing, marketing, providing or maintaining services or products similar to or competitive with the Platform, so long as it does so without use of the Company's Confidential Information.</w:t>
      </w:r>
    </w:p>
    <w:p>
      <w:r>
        <w:rPr>
          <w:b/>
          <w:sz w:val="22"/>
        </w:rPr>
        <w:t>5. No License; No Warranty</w:t>
      </w:r>
    </w:p>
    <w:p>
      <w:pPr>
        <w:spacing w:after="120"/>
      </w:pPr>
      <w:r>
        <w:t>No license or other right, by implication, estoppel or otherwise, is granted under this Agreement to any patent, copyright, trademark, trade secret or other intellectual property of either Party. All Confidential Information is provided "AS IS", without warranty of any kind, and neither Party shall have any liability arising from the other Party's use of or reliance on it.</w:t>
      </w:r>
    </w:p>
    <w:p>
      <w:r>
        <w:rPr>
          <w:b/>
          <w:sz w:val="22"/>
        </w:rPr>
        <w:t>6. Return or Destruction</w:t>
      </w:r>
    </w:p>
    <w:p>
      <w:pPr>
        <w:spacing w:after="120"/>
      </w:pPr>
      <w:r>
        <w:t>Within thirty (30) days after the earlier of (i) completion or termination of the discussions or engagement contemplated by the Purpose, or (ii) the Disclosing Party's written request, the Receiving Party shall return or, at its option, destroy Confidential Information in its possession, except that the Receiving Party may retain (a) one archival copy for legal, regulatory or audit compliance, and (b) copies stored in routine, automated electronic backups, each of which shall remain subject to the confidentiality obligations of this Agreement for so long as retained.</w:t>
      </w:r>
    </w:p>
    <w:p>
      <w:r>
        <w:rPr>
          <w:b/>
          <w:sz w:val="22"/>
        </w:rPr>
        <w:t>7. Term</w:t>
      </w:r>
    </w:p>
    <w:p>
      <w:pPr>
        <w:spacing w:after="120"/>
      </w:pPr>
      <w:r>
        <w:t>This Agreement shall commence on the date above and continue for two (2) years thereafter. The confidentiality obligations under Sections 3 and 4 shall survive for a period of three (3) years from the date of disclosure of the relevant Confidential Information; provided that, for information that constitutes a trade secret under applicable law, such obligations shall continue for as long as such information retains its trade-secret status under that law.</w:t>
      </w:r>
    </w:p>
    <w:p>
      <w:r>
        <w:rPr>
          <w:b/>
          <w:sz w:val="22"/>
        </w:rPr>
        <w:t>8. Remedies</w:t>
      </w:r>
    </w:p>
    <w:p>
      <w:pPr>
        <w:spacing w:after="120"/>
      </w:pPr>
      <w:r>
        <w:t>Each Party acknowledges that a material breach of the confidentiality obligations under this Agreement may cause harm for which monetary damages alone may be inadequate, and that the non-breaching Party may seek injunctive or other equitable relief, in addition to any other remedies available at law, subject to Section 8A below.</w:t>
      </w:r>
    </w:p>
    <w:p>
      <w:r>
        <w:rPr>
          <w:b/>
          <w:sz w:val="22"/>
        </w:rPr>
        <w:t>8A. Limitation of Liability</w:t>
      </w:r>
    </w:p>
    <w:p>
      <w:pPr>
        <w:spacing w:after="120"/>
      </w:pPr>
      <w:r>
        <w:t xml:space="preserve">(a) Cap. To the maximum extent permitted by applicable law, the aggregate total liability of each Party arising out of or in connection with this Agreement — whether in contract, tort (including negligence), statute or otherwise — shall not exceed </w:t>
      </w:r>
      <w:r>
        <w:rPr>
          <w:highlight w:val="yellow"/>
        </w:rPr>
        <w:t>[EUR 5,000]</w:t>
      </w:r>
      <w:r>
        <w:t xml:space="preserve"> in the aggregate, regardless of the number or nature of claims.</w:t>
      </w:r>
    </w:p>
    <w:p>
      <w:pPr>
        <w:spacing w:after="120"/>
      </w:pPr>
      <w:r>
        <w:t>(b) Excluded damages. In no event shall either Party be liable to the other for any indirect, incidental, consequential, special, exemplary or punitive damages, nor for any loss of profits, loss of revenue, loss of business, loss of goodwill, loss of data, loss of anticipated savings, or business interruption, even if such Party has been advised of the possibility of such damages and regardless of the legal theory.</w:t>
      </w:r>
    </w:p>
    <w:p>
      <w:pPr>
        <w:spacing w:after="120"/>
      </w:pPr>
      <w:r>
        <w:t>(c) No personal liability. Under no circumstances shall any director, officer, employee, shareholder, agent or contractor of either Party have any personal liability under or in connection with this Agreement. All claims, if any, shall be made solely against the contracting Party.</w:t>
      </w:r>
    </w:p>
    <w:p>
      <w:pPr>
        <w:spacing w:after="120"/>
      </w:pPr>
      <w:r>
        <w:t>(d) No indemnification. Neither Party shall have any obligation to defend, indemnify or hold harmless the other Party (or any third party) under this Agreement. Any claim or loss suffered by a Party as a result of disclosure to, or use by, its own personnel or representatives is that Party's sole responsibility.</w:t>
      </w:r>
    </w:p>
    <w:p>
      <w:pPr>
        <w:spacing w:after="120"/>
      </w:pPr>
      <w:r>
        <w:t>(e) Carve-outs. The limitations in this Section 8A apply to the fullest extent permitted by law, including to claims for breach of confidentiality. They do not apply only to (i) liability that cannot be excluded or limited by mandatory applicable law (e.g., for intent or gross negligence under Croatian law), or (ii) a Party's payment obligations that may be expressly agreed in a separate written engagement.</w:t>
      </w:r>
    </w:p>
    <w:p>
      <w:pPr>
        <w:spacing w:after="120"/>
      </w:pPr>
      <w:r>
        <w:t>(f) Time bar. Any claim arising out of or in connection with this Agreement must be brought within one (1) year after the claiming Party becomes aware, or reasonably should have become aware, of the facts giving rise to the claim, after which such claim shall be permanently barred.</w:t>
      </w:r>
    </w:p>
    <w:p>
      <w:pPr>
        <w:spacing w:after="120"/>
      </w:pPr>
      <w:r>
        <w:t>(g) Allocation of risk. The Parties acknowledge that the limitations in this Section 8A are a fundamental basis of the bargain and have been taken into account in their decision to enter into this Agreement.</w:t>
      </w:r>
    </w:p>
    <w:p>
      <w:r>
        <w:rPr>
          <w:b/>
          <w:sz w:val="22"/>
        </w:rPr>
        <w:t>9. No Obligation; No Solicitation Disclaimer</w:t>
      </w:r>
    </w:p>
    <w:p>
      <w:pPr>
        <w:spacing w:after="120"/>
      </w:pPr>
      <w:r>
        <w:t>Nothing in this Agreement obligates either Party to enter into any further agreement, to disclose any particular information, or to refrain from engaging in any business with any third party (including parties whose business is similar to the other Party's).</w:t>
      </w:r>
    </w:p>
    <w:p>
      <w:r>
        <w:rPr>
          <w:b/>
          <w:sz w:val="22"/>
        </w:rPr>
        <w:t>10. Assignment</w:t>
      </w:r>
    </w:p>
    <w:p>
      <w:pPr>
        <w:spacing w:after="120"/>
      </w:pPr>
      <w:r>
        <w:t>Neither Party may assign this Agreement without the other's prior written consent, except that either Party may assign it to a successor in connection with a merger, reorganization or sale of substantially all of its assets, on notice to the other Party.</w:t>
      </w:r>
    </w:p>
    <w:p>
      <w:r>
        <w:rPr>
          <w:b/>
          <w:sz w:val="22"/>
        </w:rPr>
        <w:t>11. Governing Law and Jurisdiction</w:t>
      </w:r>
    </w:p>
    <w:p>
      <w:pPr>
        <w:spacing w:after="120"/>
      </w:pPr>
      <w:r>
        <w:t>This Agreement shall be governed by the laws of the Republic of Croatia, without regard to conflict-of-laws principles. The Parties submit to the exclusive jurisdiction of the courts of Zagreb, Croatia, except that either Party may seek injunctive or equitable relief in any court of competent jurisdiction to protect its Confidential Information or intellectual property rights.</w:t>
      </w:r>
    </w:p>
    <w:p>
      <w:r>
        <w:rPr>
          <w:b/>
          <w:sz w:val="22"/>
        </w:rPr>
        <w:t>12. Entire Agreement; Amendments</w:t>
      </w:r>
    </w:p>
    <w:p>
      <w:pPr>
        <w:spacing w:after="120"/>
      </w:pPr>
      <w:r>
        <w:t>This Agreement is the entire agreement between the Parties regarding its subject matter and supersedes all prior or contemporaneous agreements and understandings, written or oral. Any amendment must be in writing and signed by both Parties.</w:t>
      </w:r>
    </w:p>
    <w:p>
      <w:r>
        <w:rPr>
          <w:b/>
          <w:sz w:val="22"/>
        </w:rPr>
        <w:t>13. Severability; Counterparts</w:t>
      </w:r>
    </w:p>
    <w:p>
      <w:pPr>
        <w:spacing w:after="120"/>
      </w:pPr>
      <w:r>
        <w:t>If any provision is held invalid or unenforceable, the remaining provisions shall remain in full force, and the invalid provision shall be reformed to the minimum extent necessary to be enforceable. This Agreement may be executed in counterparts, including by electronic signature, each of which is an original and all of which together constitute one instrument.</w:t>
      </w:r>
    </w:p>
    <w:p>
      <w:r>
        <w:rPr>
          <w:b/>
          <w:sz w:val="22"/>
        </w:rPr>
        <w:t>14. No Guarantee of Engagement; No Reliance</w:t>
      </w:r>
    </w:p>
    <w:p>
      <w:pPr>
        <w:spacing w:after="120"/>
      </w:pPr>
      <w:r>
        <w:t>This Agreement does not constitute an offer, commitment or agreement to engage either Party for any work. Neither Party makes any representation as to the accuracy, completeness or fitness of any Confidential Information, and the Receiving Party assumes all risk arising from its use of such information.</w:t>
      </w:r>
    </w:p>
    <w:p>
      <w:r>
        <w:rPr>
          <w:b/>
          <w:sz w:val="22"/>
        </w:rPr>
        <w:t>15. Force Majeure</w:t>
      </w:r>
    </w:p>
    <w:p>
      <w:pPr>
        <w:spacing w:after="120"/>
      </w:pPr>
      <w:r>
        <w:t>Neither Party shall be liable for any failure or delay caused by events beyond its reasonable control, including acts of God, war, terrorism, pandemic, governmental action, internet/utility outages, or strikes.</w:t>
      </w:r>
    </w:p>
    <w:p>
      <w:r>
        <w:rPr>
          <w:b/>
          <w:sz w:val="22"/>
        </w:rPr>
        <w:t>16. Background IP and Reusable Components</w:t>
      </w:r>
    </w:p>
    <w:p>
      <w:pPr>
        <w:spacing w:after="120"/>
      </w:pPr>
      <w:r>
        <w:t>(a) Background IP. Each Party retains all right, title and interest in and to any materials, tools, software, libraries, frameworks, components, methodologies, processes, templates, know-how, designs and other intellectual property that it (i) owned or developed prior to this Agreement, or (ii) develops or acquires independently of this Agreement and outside the scope of the Purpose ("</w:t>
      </w:r>
      <w:r>
        <w:rPr>
          <w:b/>
        </w:rPr>
        <w:t>Background IP</w:t>
      </w:r>
      <w:r>
        <w:t>"). Nothing in this Agreement transfers, licenses or otherwise affects any Party's Background IP.</w:t>
      </w:r>
    </w:p>
    <w:p>
      <w:pPr>
        <w:spacing w:after="120"/>
      </w:pPr>
      <w:r>
        <w:t>(b) Kodius toolkit. Without limiting the foregoing, the Parties acknowledge that Kodius is a software development agency that maintains and continuously develops a portfolio of proprietary and open-source libraries, frameworks, boilerplates, UI components, code templates, infrastructure modules, design systems, internal tools, scripts and methodologies (collectively, the "</w:t>
      </w:r>
      <w:r>
        <w:rPr>
          <w:b/>
        </w:rPr>
        <w:t>Kodius Toolkit</w:t>
      </w:r>
      <w:r>
        <w:t>"). The Kodius Toolkit constitutes Kodius's Background IP and shall remain Kodius's exclusive property regardless of whether any portion of it is used, referenced, configured or deployed in connection with the Purpose or any resulting engagement.</w:t>
      </w:r>
    </w:p>
    <w:p>
      <w:pPr>
        <w:spacing w:after="120"/>
      </w:pPr>
      <w:r>
        <w:t>(c) No taint. Mere exposure of the Kodius Toolkit (or any future improvements, generalizations or abstractions of it) to the Company, or its use in connection with the Purpose, shall not (i) cause any part of the Kodius Toolkit to become Confidential Information of the Company, (ii) restrict Kodius's right to use, license, sublicense, modify, distribute or commercialize the Kodius Toolkit for any purpose and any client, or (iii) grant the Company any rights in the Kodius Toolkit beyond, at most, a non-exclusive right of use limited to the deliverables actually delivered to the Company (the precise scope of which shall be defined in a separate engagement agreement, if any).</w:t>
      </w:r>
    </w:p>
    <w:p>
      <w:r>
        <w:rPr>
          <w:b/>
          <w:sz w:val="22"/>
        </w:rPr>
        <w:t>17. Generic Components and Improvements</w:t>
      </w:r>
    </w:p>
    <w:p>
      <w:pPr>
        <w:spacing w:after="120"/>
      </w:pPr>
      <w:r>
        <w:t>(a) Generic components. In the course of performing under the Purpose or any resulting engagement, Kodius may develop, refine or generalize generic, non-Company-specific components — including utility functions, reusable UI components, infrastructure-as-code modules, integration adapters, data-access patterns, testing utilities, build/deploy scripts, and similar building blocks that are not specific to the Company's business, branding, data or trade secrets ("</w:t>
      </w:r>
      <w:r>
        <w:rPr>
          <w:b/>
        </w:rPr>
        <w:t>Generic Components</w:t>
      </w:r>
      <w:r>
        <w:t>"). All Generic Components shall be deemed part of the Kodius Toolkit and shall be owned exclusively by Kodius, with the Company receiving (at most) a perpetual, royalty-free, non-exclusive license to use them solely as embedded in the deliverables.</w:t>
      </w:r>
    </w:p>
    <w:p>
      <w:pPr>
        <w:spacing w:after="120"/>
      </w:pPr>
      <w:r>
        <w:t>(b) Improvements. Any improvements, bug fixes, refactorings, optimizations or generalizations that Kodius makes to its pre-existing Kodius Toolkit, even if discovered or implemented while working on the Purpose, shall remain Kodius's exclusive property as part of the Kodius Toolkit.</w:t>
      </w:r>
    </w:p>
    <w:p>
      <w:pPr>
        <w:spacing w:after="120"/>
      </w:pPr>
      <w:r>
        <w:t>(c) Right to reuse. Kodius shall be free to use, reuse, modify, license, open-source, publish, and commercialize the Kodius Toolkit and any Generic Components for any other client, project or purpose, including projects that may be similar to or competitive with the Company's business, provided that Kodius does not include in such reuse any of the Company's Confidential Information, branding, business data, customer data, or Company-specific business logic.</w:t>
      </w:r>
    </w:p>
    <w:p>
      <w:pPr>
        <w:spacing w:after="120"/>
      </w:pPr>
      <w:r>
        <w:t>(d) Distinction. For clarity: "Company-specific" deliverables (i.e., outputs that embody the Company's particular business model, branding, content, data structures unique to the Company, trade secrets or workflows) are not Generic Components and shall be governed by the IP terms of any separate engagement agreement.</w:t>
      </w:r>
    </w:p>
    <w:p/>
    <w:p>
      <w:pPr>
        <w:spacing w:after="120"/>
      </w:pPr>
      <w:r>
        <w:t>IN WITNESS WHEREOF, the Parties have executed this Mutual Nondisclosure Agreement as of the date first above written.</w:t>
      </w:r>
    </w:p>
    <w:p/>
    <w:tbl>
      <w:tblPr>
        <w:tblW w:type="auto" w:w="0"/>
        <w:tblLayout w:type="autofit"/>
        <w:tblLook w:firstColumn="1" w:firstRow="1" w:lastColumn="0" w:lastRow="0" w:noHBand="0" w:noVBand="1" w:val="04A0"/>
      </w:tblPr>
      <w:tblGrid>
        <w:gridCol w:w="4873"/>
        <w:gridCol w:w="4873"/>
      </w:tblGrid>
      <w:tr>
        <w:tc>
          <w:tcPr>
            <w:tcW w:type="dxa" w:w="4873"/>
          </w:tcPr>
          <w:p>
            <w:r>
              <w:rPr>
                <w:b/>
                <w:highlight w:val="yellow"/>
              </w:rPr>
              <w:t>[COMPANY NAME]</w:t>
            </w:r>
          </w:p>
        </w:tc>
        <w:tc>
          <w:tcPr>
            <w:tcW w:type="dxa" w:w="4873"/>
          </w:tcPr>
          <w:p>
            <w:r>
              <w:rPr>
                <w:b/>
              </w:rPr>
              <w:t>Kodius d.o.o.</w:t>
            </w:r>
          </w:p>
        </w:tc>
      </w:tr>
      <w:tr>
        <w:tc>
          <w:tcPr>
            <w:tcW w:type="dxa" w:w="4873"/>
          </w:tcPr>
          <w:p>
            <w:r/>
          </w:p>
        </w:tc>
        <w:tc>
          <w:tcPr>
            <w:tcW w:type="dxa" w:w="4873"/>
          </w:tcPr>
          <w:p>
            <w:r/>
          </w:p>
        </w:tc>
      </w:tr>
      <w:tr>
        <w:tc>
          <w:tcPr>
            <w:tcW w:type="dxa" w:w="4873"/>
          </w:tcPr>
          <w:p>
            <w:r>
              <w:t>By: ______________________________</w:t>
            </w:r>
          </w:p>
        </w:tc>
        <w:tc>
          <w:tcPr>
            <w:tcW w:type="dxa" w:w="4873"/>
          </w:tcPr>
          <w:p>
            <w:r>
              <w:t>By: ______________________________</w:t>
            </w:r>
          </w:p>
        </w:tc>
      </w:tr>
      <w:tr>
        <w:tc>
          <w:tcPr>
            <w:tcW w:type="dxa" w:w="4873"/>
          </w:tcPr>
          <w:p>
            <w:r>
              <w:t xml:space="preserve">Name: </w:t>
            </w:r>
            <w:r>
              <w:rPr>
                <w:highlight w:val="yellow"/>
              </w:rPr>
              <w:t>[NAME]</w:t>
            </w:r>
          </w:p>
        </w:tc>
        <w:tc>
          <w:tcPr>
            <w:tcW w:type="dxa" w:w="4873"/>
          </w:tcPr>
          <w:p>
            <w:r>
              <w:t>Name: Krešimir Bojčić</w:t>
            </w:r>
          </w:p>
        </w:tc>
      </w:tr>
      <w:tr>
        <w:tc>
          <w:tcPr>
            <w:tcW w:type="dxa" w:w="4873"/>
          </w:tcPr>
          <w:p>
            <w:r>
              <w:t xml:space="preserve">Title: </w:t>
            </w:r>
            <w:r>
              <w:rPr>
                <w:highlight w:val="yellow"/>
              </w:rPr>
              <w:t>[TITLE]</w:t>
            </w:r>
          </w:p>
        </w:tc>
        <w:tc>
          <w:tcPr>
            <w:tcW w:type="dxa" w:w="4873"/>
          </w:tcPr>
          <w:p>
            <w:r>
              <w:t>Title: CEO</w:t>
            </w:r>
          </w:p>
        </w:tc>
      </w:tr>
    </w:tbl>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